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after="240" w:afterAutospacing="0"/>
        <w:jc w:val="center"/>
      </w:pPr>
      <w:r>
        <w:rPr>
          <w:rStyle w:val="4"/>
          <w:rFonts w:ascii="宋体" w:hAnsi="宋体" w:eastAsia="宋体" w:cs="宋体"/>
          <w:kern w:val="0"/>
          <w:sz w:val="30"/>
          <w:szCs w:val="30"/>
          <w:lang w:val="en-US" w:eastAsia="zh-CN" w:bidi="ar"/>
        </w:rPr>
        <w:t>2-Amino-6-chloropurine CAS:10310-21-1 with high quality</w:t>
      </w:r>
    </w:p>
    <w:p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Description: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CAS: 10310-21-1 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Molecular Formula: C5H4ClN5 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Item: Inspection Standard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Appearance: Light yellow crystal powder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Loss on drying: Not more than 0.5%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Residue on ignition: Not more than 0.2%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Heavy metals: Not more than 10PPM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Assay(HPLC); Not less than 99.0%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4"/>
          <w:rFonts w:ascii="宋体" w:hAnsi="宋体" w:eastAsia="宋体" w:cs="宋体"/>
          <w:kern w:val="0"/>
          <w:sz w:val="27"/>
          <w:szCs w:val="27"/>
          <w:lang w:val="en-US" w:eastAsia="zh-CN" w:bidi="ar"/>
        </w:rPr>
        <w:t>Application: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An intermediate of the antiviral agents famciclovir and valciclovir.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Packing: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25kg/drum or as customers's requirement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Shipment: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20 days after signed contact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2.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.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370919"/>
    <w:rsid w:val="633709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2019-05-31T09:41:00Z</dcterms:created>
  <dc:creator>Pa-nLI-ng</dc:creator>
  <cp:lastModifiedBy>Pa-nLI-ng</cp:lastModifiedBy>
  <dcterms:modified xsi:type="dcterms:W3CDTF">2019-05-31T09:42:23Z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